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A3F6" w14:textId="77777777" w:rsidR="00B71A3A" w:rsidRDefault="00EA1D2F">
      <w:pPr>
        <w:spacing w:after="150"/>
      </w:pPr>
      <w:bookmarkStart w:id="0" w:name="_GoBack"/>
      <w:bookmarkEnd w:id="0"/>
      <w:r>
        <w:rPr>
          <w:color w:val="000000"/>
        </w:rPr>
        <w:t xml:space="preserve">На основу члана 226. став 2. Закона о пловидби и лукама на унутрашњим водама („Службени гласник PC”, бр. 73/10, 121/12, 18/15, 96/15 – др. </w:t>
      </w:r>
      <w:r>
        <w:rPr>
          <w:color w:val="000000"/>
        </w:rPr>
        <w:t>закон, 92/16, 104/16 – др. закон, 113/17 – др. закон, 41/18, 95/18 – др. закон и 37/19 – др. закон),</w:t>
      </w:r>
    </w:p>
    <w:p w14:paraId="2426E3DE" w14:textId="77777777" w:rsidR="00B71A3A" w:rsidRDefault="00EA1D2F">
      <w:pPr>
        <w:spacing w:after="150"/>
      </w:pPr>
      <w:r>
        <w:rPr>
          <w:color w:val="000000"/>
        </w:rPr>
        <w:t>Управни одбор Агенције за управљање лукама доноси</w:t>
      </w:r>
    </w:p>
    <w:p w14:paraId="03008AC7" w14:textId="77777777" w:rsidR="00B71A3A" w:rsidRDefault="00EA1D2F">
      <w:pPr>
        <w:spacing w:after="225"/>
        <w:jc w:val="center"/>
      </w:pPr>
      <w:r>
        <w:rPr>
          <w:b/>
          <w:color w:val="000000"/>
        </w:rPr>
        <w:t>ПРАВИЛНИК</w:t>
      </w:r>
    </w:p>
    <w:p w14:paraId="46D8A093" w14:textId="77777777" w:rsidR="00B71A3A" w:rsidRDefault="00EA1D2F">
      <w:pPr>
        <w:spacing w:after="225"/>
        <w:jc w:val="center"/>
      </w:pPr>
      <w:r>
        <w:rPr>
          <w:b/>
          <w:color w:val="000000"/>
        </w:rPr>
        <w:t>о уписнику лучких оператера</w:t>
      </w:r>
    </w:p>
    <w:p w14:paraId="7F950EA7" w14:textId="77777777" w:rsidR="00B71A3A" w:rsidRDefault="00EA1D2F">
      <w:pPr>
        <w:spacing w:after="120"/>
        <w:jc w:val="center"/>
      </w:pPr>
      <w:r>
        <w:rPr>
          <w:color w:val="000000"/>
        </w:rPr>
        <w:t>"Службени гласник РС", број 1 од 10. јануара 2020.</w:t>
      </w:r>
    </w:p>
    <w:p w14:paraId="1460190D" w14:textId="77777777" w:rsidR="00B71A3A" w:rsidRDefault="00EA1D2F">
      <w:pPr>
        <w:spacing w:after="120"/>
        <w:jc w:val="center"/>
      </w:pPr>
      <w:r>
        <w:rPr>
          <w:color w:val="000000"/>
        </w:rPr>
        <w:t>I ОСНОВНЕ ОДРЕДБ</w:t>
      </w:r>
      <w:r>
        <w:rPr>
          <w:color w:val="000000"/>
        </w:rPr>
        <w:t>Е</w:t>
      </w:r>
    </w:p>
    <w:p w14:paraId="45ADCF47" w14:textId="77777777" w:rsidR="00B71A3A" w:rsidRDefault="00EA1D2F">
      <w:pPr>
        <w:spacing w:after="120"/>
        <w:jc w:val="center"/>
      </w:pPr>
      <w:r>
        <w:rPr>
          <w:color w:val="000000"/>
        </w:rPr>
        <w:t>Члан 1.</w:t>
      </w:r>
    </w:p>
    <w:p w14:paraId="37F5C28A" w14:textId="77777777" w:rsidR="00B71A3A" w:rsidRDefault="00EA1D2F">
      <w:pPr>
        <w:spacing w:after="150"/>
      </w:pPr>
      <w:r>
        <w:rPr>
          <w:color w:val="000000"/>
        </w:rPr>
        <w:t>Овим правилником прописује се садржај и начин вођења Уписника лучких оператера (у даљем тексту: уписник).</w:t>
      </w:r>
    </w:p>
    <w:p w14:paraId="6A35099D" w14:textId="77777777" w:rsidR="00B71A3A" w:rsidRDefault="00EA1D2F">
      <w:pPr>
        <w:spacing w:after="120"/>
        <w:jc w:val="center"/>
      </w:pPr>
      <w:r>
        <w:rPr>
          <w:color w:val="000000"/>
        </w:rPr>
        <w:t>Члан 2.</w:t>
      </w:r>
    </w:p>
    <w:p w14:paraId="0FBEB1F1" w14:textId="77777777" w:rsidR="00B71A3A" w:rsidRDefault="00EA1D2F">
      <w:pPr>
        <w:spacing w:after="150"/>
      </w:pPr>
      <w:r>
        <w:rPr>
          <w:color w:val="000000"/>
        </w:rPr>
        <w:t>Садржину уписника чине следећи подаци:</w:t>
      </w:r>
    </w:p>
    <w:p w14:paraId="21BD1F3A" w14:textId="77777777" w:rsidR="00B71A3A" w:rsidRDefault="00EA1D2F">
      <w:pPr>
        <w:spacing w:after="150"/>
      </w:pPr>
      <w:r>
        <w:rPr>
          <w:color w:val="000000"/>
        </w:rPr>
        <w:t xml:space="preserve">1) пун назив привредног друштва – лучког оператера коме је издато одобрење за обављање лучке </w:t>
      </w:r>
      <w:r>
        <w:rPr>
          <w:color w:val="000000"/>
        </w:rPr>
        <w:t>делатности (у даљем тексту: одобрење</w:t>
      </w:r>
      <w:proofErr w:type="gramStart"/>
      <w:r>
        <w:rPr>
          <w:color w:val="000000"/>
        </w:rPr>
        <w:t>);</w:t>
      </w:r>
      <w:proofErr w:type="gramEnd"/>
    </w:p>
    <w:p w14:paraId="6F63C225" w14:textId="77777777" w:rsidR="00B71A3A" w:rsidRDefault="00EA1D2F">
      <w:pPr>
        <w:spacing w:after="150"/>
      </w:pPr>
      <w:r>
        <w:rPr>
          <w:color w:val="000000"/>
        </w:rPr>
        <w:t xml:space="preserve">2) седиште и адреса привредног друштва – лучког </w:t>
      </w:r>
      <w:proofErr w:type="gramStart"/>
      <w:r>
        <w:rPr>
          <w:color w:val="000000"/>
        </w:rPr>
        <w:t>оператера;</w:t>
      </w:r>
      <w:proofErr w:type="gramEnd"/>
    </w:p>
    <w:p w14:paraId="611BE99E" w14:textId="77777777" w:rsidR="00B71A3A" w:rsidRDefault="00EA1D2F">
      <w:pPr>
        <w:spacing w:after="150"/>
      </w:pPr>
      <w:r>
        <w:rPr>
          <w:color w:val="000000"/>
        </w:rPr>
        <w:t xml:space="preserve">3) матични број привредног друштва – лучког </w:t>
      </w:r>
      <w:proofErr w:type="gramStart"/>
      <w:r>
        <w:rPr>
          <w:color w:val="000000"/>
        </w:rPr>
        <w:t>оператера;</w:t>
      </w:r>
      <w:proofErr w:type="gramEnd"/>
    </w:p>
    <w:p w14:paraId="06DE4D0F" w14:textId="77777777" w:rsidR="00B71A3A" w:rsidRDefault="00EA1D2F">
      <w:pPr>
        <w:spacing w:after="150"/>
      </w:pPr>
      <w:r>
        <w:rPr>
          <w:color w:val="000000"/>
        </w:rPr>
        <w:t>4) име и презиме, ЈМБГ или у случају страног лица други идентификациони број законског заступника привр</w:t>
      </w:r>
      <w:r>
        <w:rPr>
          <w:color w:val="000000"/>
        </w:rPr>
        <w:t xml:space="preserve">едног друштва – лучког </w:t>
      </w:r>
      <w:proofErr w:type="gramStart"/>
      <w:r>
        <w:rPr>
          <w:color w:val="000000"/>
        </w:rPr>
        <w:t>оператера;</w:t>
      </w:r>
      <w:proofErr w:type="gramEnd"/>
    </w:p>
    <w:p w14:paraId="193EF931" w14:textId="77777777" w:rsidR="00B71A3A" w:rsidRDefault="00EA1D2F">
      <w:pPr>
        <w:spacing w:after="150"/>
      </w:pPr>
      <w:r>
        <w:rPr>
          <w:color w:val="000000"/>
        </w:rPr>
        <w:t xml:space="preserve">5) број и датум </w:t>
      </w:r>
      <w:proofErr w:type="gramStart"/>
      <w:r>
        <w:rPr>
          <w:color w:val="000000"/>
        </w:rPr>
        <w:t>одобрења;</w:t>
      </w:r>
      <w:proofErr w:type="gramEnd"/>
    </w:p>
    <w:p w14:paraId="1FEA7DE2" w14:textId="77777777" w:rsidR="00B71A3A" w:rsidRDefault="00EA1D2F">
      <w:pPr>
        <w:spacing w:after="150"/>
      </w:pPr>
      <w:r>
        <w:rPr>
          <w:color w:val="000000"/>
        </w:rPr>
        <w:t xml:space="preserve">6) врста лучке делатности за коју је издато </w:t>
      </w:r>
      <w:proofErr w:type="gramStart"/>
      <w:r>
        <w:rPr>
          <w:color w:val="000000"/>
        </w:rPr>
        <w:t>одобрење;</w:t>
      </w:r>
      <w:proofErr w:type="gramEnd"/>
    </w:p>
    <w:p w14:paraId="01EBF99B" w14:textId="77777777" w:rsidR="00B71A3A" w:rsidRDefault="00EA1D2F">
      <w:pPr>
        <w:spacing w:after="150"/>
      </w:pPr>
      <w:r>
        <w:rPr>
          <w:color w:val="000000"/>
        </w:rPr>
        <w:t xml:space="preserve">7) рок важења </w:t>
      </w:r>
      <w:proofErr w:type="gramStart"/>
      <w:r>
        <w:rPr>
          <w:color w:val="000000"/>
        </w:rPr>
        <w:t>одобрења;</w:t>
      </w:r>
      <w:proofErr w:type="gramEnd"/>
    </w:p>
    <w:p w14:paraId="54D3731E" w14:textId="77777777" w:rsidR="00B71A3A" w:rsidRDefault="00EA1D2F">
      <w:pPr>
        <w:spacing w:after="150"/>
      </w:pPr>
      <w:r>
        <w:rPr>
          <w:color w:val="000000"/>
        </w:rPr>
        <w:t>8) број и датум поднетог захтева привредног друштва – лучког оператера, које је статус оператера стекло по закону који</w:t>
      </w:r>
      <w:r>
        <w:rPr>
          <w:color w:val="000000"/>
        </w:rPr>
        <w:t xml:space="preserve">м се уређује пловидба и луке на унутрашњим </w:t>
      </w:r>
      <w:proofErr w:type="gramStart"/>
      <w:r>
        <w:rPr>
          <w:color w:val="000000"/>
        </w:rPr>
        <w:t>водама;</w:t>
      </w:r>
      <w:proofErr w:type="gramEnd"/>
    </w:p>
    <w:p w14:paraId="4EF42E80" w14:textId="77777777" w:rsidR="00B71A3A" w:rsidRDefault="00EA1D2F">
      <w:pPr>
        <w:spacing w:after="150"/>
      </w:pPr>
      <w:r>
        <w:rPr>
          <w:color w:val="000000"/>
        </w:rPr>
        <w:t xml:space="preserve">9) број и датум издавања Уверења о упису у уписник лучких </w:t>
      </w:r>
      <w:proofErr w:type="gramStart"/>
      <w:r>
        <w:rPr>
          <w:color w:val="000000"/>
        </w:rPr>
        <w:t>оператера;</w:t>
      </w:r>
      <w:proofErr w:type="gramEnd"/>
    </w:p>
    <w:p w14:paraId="08A8C4DD" w14:textId="77777777" w:rsidR="00B71A3A" w:rsidRDefault="00EA1D2F">
      <w:pPr>
        <w:spacing w:after="150"/>
      </w:pPr>
      <w:r>
        <w:rPr>
          <w:color w:val="000000"/>
        </w:rPr>
        <w:t xml:space="preserve">10) број и датум Решења о упису промене </w:t>
      </w:r>
      <w:proofErr w:type="gramStart"/>
      <w:r>
        <w:rPr>
          <w:color w:val="000000"/>
        </w:rPr>
        <w:t>података;</w:t>
      </w:r>
      <w:proofErr w:type="gramEnd"/>
    </w:p>
    <w:p w14:paraId="4D94F607" w14:textId="77777777" w:rsidR="00B71A3A" w:rsidRDefault="00EA1D2F">
      <w:pPr>
        <w:spacing w:after="150"/>
      </w:pPr>
      <w:r>
        <w:rPr>
          <w:color w:val="000000"/>
        </w:rPr>
        <w:t xml:space="preserve">11) број и датум Решења о брисању одобрења из </w:t>
      </w:r>
      <w:proofErr w:type="gramStart"/>
      <w:r>
        <w:rPr>
          <w:color w:val="000000"/>
        </w:rPr>
        <w:t>уписника;</w:t>
      </w:r>
      <w:proofErr w:type="gramEnd"/>
    </w:p>
    <w:p w14:paraId="66AF36AB" w14:textId="77777777" w:rsidR="00B71A3A" w:rsidRDefault="00EA1D2F">
      <w:pPr>
        <w:spacing w:after="150"/>
      </w:pPr>
      <w:r>
        <w:rPr>
          <w:color w:val="000000"/>
        </w:rPr>
        <w:t>12) број и датум Решења о одуз</w:t>
      </w:r>
      <w:r>
        <w:rPr>
          <w:color w:val="000000"/>
        </w:rPr>
        <w:t xml:space="preserve">имању </w:t>
      </w:r>
      <w:proofErr w:type="gramStart"/>
      <w:r>
        <w:rPr>
          <w:color w:val="000000"/>
        </w:rPr>
        <w:t>одобрења;</w:t>
      </w:r>
      <w:proofErr w:type="gramEnd"/>
    </w:p>
    <w:p w14:paraId="6AD12CF0" w14:textId="77777777" w:rsidR="00B71A3A" w:rsidRDefault="00EA1D2F">
      <w:pPr>
        <w:spacing w:after="150"/>
      </w:pPr>
      <w:r>
        <w:rPr>
          <w:color w:val="000000"/>
        </w:rPr>
        <w:t xml:space="preserve">13) број и датум забелешке о привременој забрани рада лучког </w:t>
      </w:r>
      <w:proofErr w:type="gramStart"/>
      <w:r>
        <w:rPr>
          <w:color w:val="000000"/>
        </w:rPr>
        <w:t>оператера;</w:t>
      </w:r>
      <w:proofErr w:type="gramEnd"/>
    </w:p>
    <w:p w14:paraId="75B5E5D3" w14:textId="77777777" w:rsidR="00B71A3A" w:rsidRDefault="00EA1D2F">
      <w:pPr>
        <w:spacing w:after="150"/>
      </w:pPr>
      <w:r>
        <w:rPr>
          <w:color w:val="000000"/>
        </w:rPr>
        <w:t xml:space="preserve">14) број и датум забелешке о ликвидацији лучког </w:t>
      </w:r>
      <w:proofErr w:type="gramStart"/>
      <w:r>
        <w:rPr>
          <w:color w:val="000000"/>
        </w:rPr>
        <w:t>оператера;</w:t>
      </w:r>
      <w:proofErr w:type="gramEnd"/>
    </w:p>
    <w:p w14:paraId="5E3ECC8E" w14:textId="77777777" w:rsidR="00B71A3A" w:rsidRDefault="00EA1D2F">
      <w:pPr>
        <w:spacing w:after="150"/>
      </w:pPr>
      <w:r>
        <w:rPr>
          <w:color w:val="000000"/>
        </w:rPr>
        <w:t xml:space="preserve">15) број и датум забелешке о покретању стечаја над лучким </w:t>
      </w:r>
      <w:proofErr w:type="gramStart"/>
      <w:r>
        <w:rPr>
          <w:color w:val="000000"/>
        </w:rPr>
        <w:t>оператером;</w:t>
      </w:r>
      <w:proofErr w:type="gramEnd"/>
    </w:p>
    <w:p w14:paraId="2A3A5BFF" w14:textId="77777777" w:rsidR="00B71A3A" w:rsidRDefault="00EA1D2F">
      <w:pPr>
        <w:spacing w:after="150"/>
      </w:pPr>
      <w:r>
        <w:rPr>
          <w:color w:val="000000"/>
        </w:rPr>
        <w:lastRenderedPageBreak/>
        <w:t>16) напомена.</w:t>
      </w:r>
    </w:p>
    <w:p w14:paraId="1BE81B82" w14:textId="77777777" w:rsidR="00B71A3A" w:rsidRDefault="00EA1D2F">
      <w:pPr>
        <w:spacing w:after="120"/>
        <w:jc w:val="center"/>
      </w:pPr>
      <w:r>
        <w:rPr>
          <w:color w:val="000000"/>
        </w:rPr>
        <w:t>Члан 3.</w:t>
      </w:r>
    </w:p>
    <w:p w14:paraId="327403D9" w14:textId="77777777" w:rsidR="00B71A3A" w:rsidRDefault="00EA1D2F">
      <w:pPr>
        <w:spacing w:after="150"/>
      </w:pPr>
      <w:r>
        <w:rPr>
          <w:color w:val="000000"/>
        </w:rPr>
        <w:t xml:space="preserve">Уписник се </w:t>
      </w:r>
      <w:r>
        <w:rPr>
          <w:color w:val="000000"/>
        </w:rPr>
        <w:t>води у писаном облику и као јединствена централна електронска база података.</w:t>
      </w:r>
    </w:p>
    <w:p w14:paraId="27C46976" w14:textId="77777777" w:rsidR="00B71A3A" w:rsidRDefault="00EA1D2F">
      <w:pPr>
        <w:spacing w:after="150"/>
      </w:pPr>
      <w:r>
        <w:rPr>
          <w:color w:val="000000"/>
        </w:rPr>
        <w:t>Уписник у писаном и електронском облику мора садржати идентичне податке.</w:t>
      </w:r>
    </w:p>
    <w:p w14:paraId="350E8E3D" w14:textId="77777777" w:rsidR="00B71A3A" w:rsidRDefault="00EA1D2F">
      <w:pPr>
        <w:spacing w:after="150"/>
      </w:pPr>
      <w:r>
        <w:rPr>
          <w:color w:val="000000"/>
        </w:rPr>
        <w:t>Уписник се води у непрекидном низу бројева.</w:t>
      </w:r>
    </w:p>
    <w:p w14:paraId="0A7380BF" w14:textId="77777777" w:rsidR="00B71A3A" w:rsidRDefault="00EA1D2F">
      <w:pPr>
        <w:spacing w:after="150"/>
      </w:pPr>
      <w:r>
        <w:rPr>
          <w:color w:val="000000"/>
        </w:rPr>
        <w:t>Уписник је доступан на интернет страници Агенције за управљање</w:t>
      </w:r>
      <w:r>
        <w:rPr>
          <w:color w:val="000000"/>
        </w:rPr>
        <w:t xml:space="preserve"> лукама (у даљем тексту: Агенција).</w:t>
      </w:r>
    </w:p>
    <w:p w14:paraId="0C1ED6E9" w14:textId="77777777" w:rsidR="00B71A3A" w:rsidRDefault="00EA1D2F">
      <w:pPr>
        <w:spacing w:after="120"/>
        <w:jc w:val="center"/>
      </w:pPr>
      <w:r>
        <w:rPr>
          <w:color w:val="000000"/>
        </w:rPr>
        <w:t>Члан 4.</w:t>
      </w:r>
    </w:p>
    <w:p w14:paraId="162772FA" w14:textId="77777777" w:rsidR="00B71A3A" w:rsidRDefault="00EA1D2F">
      <w:pPr>
        <w:spacing w:after="150"/>
      </w:pPr>
      <w:r>
        <w:rPr>
          <w:color w:val="000000"/>
        </w:rPr>
        <w:t>Уписник се састоји од уписних листова, а сваки уписни лист има две стране обележене редним бројевима 1 и 2.</w:t>
      </w:r>
    </w:p>
    <w:p w14:paraId="02729B7E" w14:textId="77777777" w:rsidR="00B71A3A" w:rsidRDefault="00EA1D2F">
      <w:pPr>
        <w:spacing w:after="150"/>
      </w:pPr>
      <w:r>
        <w:rPr>
          <w:color w:val="000000"/>
        </w:rPr>
        <w:t>Подаци о привредном друштву – лучком оператеру којима је издато одобрење, уписује се у одговарајуће рубр</w:t>
      </w:r>
      <w:r>
        <w:rPr>
          <w:color w:val="000000"/>
        </w:rPr>
        <w:t>ике уписног листа.</w:t>
      </w:r>
    </w:p>
    <w:p w14:paraId="01C3ECDF" w14:textId="77777777" w:rsidR="00B71A3A" w:rsidRDefault="00EA1D2F">
      <w:pPr>
        <w:spacing w:after="150"/>
      </w:pPr>
      <w:r>
        <w:rPr>
          <w:color w:val="000000"/>
        </w:rPr>
        <w:t>Уписник у писаном облику је књига уписа и састоји се од 50 уписних листова.</w:t>
      </w:r>
    </w:p>
    <w:p w14:paraId="5462CE0D" w14:textId="77777777" w:rsidR="00B71A3A" w:rsidRDefault="00EA1D2F">
      <w:pPr>
        <w:spacing w:after="120"/>
        <w:jc w:val="center"/>
      </w:pPr>
      <w:r>
        <w:rPr>
          <w:color w:val="000000"/>
        </w:rPr>
        <w:t>Члан 5.</w:t>
      </w:r>
    </w:p>
    <w:p w14:paraId="6D87AB8C" w14:textId="77777777" w:rsidR="00B71A3A" w:rsidRDefault="00EA1D2F">
      <w:pPr>
        <w:spacing w:after="150"/>
      </w:pPr>
      <w:r>
        <w:rPr>
          <w:color w:val="000000"/>
        </w:rPr>
        <w:t>На корици и првој ненумерисаној страни књиге уписа из члана 4. овог правилника одштампан је назив уписника: „Уписник лучких оператера” и редни број књиге</w:t>
      </w:r>
      <w:r>
        <w:rPr>
          <w:color w:val="000000"/>
        </w:rPr>
        <w:t xml:space="preserve"> уписа.</w:t>
      </w:r>
    </w:p>
    <w:p w14:paraId="08CD0277" w14:textId="77777777" w:rsidR="00B71A3A" w:rsidRDefault="00EA1D2F">
      <w:pPr>
        <w:spacing w:after="150"/>
      </w:pPr>
      <w:r>
        <w:rPr>
          <w:color w:val="000000"/>
        </w:rPr>
        <w:t>Прва ненумерисана страна књиге уписа оверава се потписом директора Агенције или лица које директор овласти и печатом Агенције.</w:t>
      </w:r>
    </w:p>
    <w:p w14:paraId="3BE43239" w14:textId="77777777" w:rsidR="00B71A3A" w:rsidRDefault="00EA1D2F">
      <w:pPr>
        <w:spacing w:after="120"/>
        <w:jc w:val="center"/>
      </w:pPr>
      <w:r>
        <w:rPr>
          <w:color w:val="000000"/>
        </w:rPr>
        <w:t>II. УПИС У УПИСНИК</w:t>
      </w:r>
    </w:p>
    <w:p w14:paraId="3C6787E1" w14:textId="77777777" w:rsidR="00B71A3A" w:rsidRDefault="00EA1D2F">
      <w:pPr>
        <w:spacing w:after="120"/>
        <w:jc w:val="center"/>
      </w:pPr>
      <w:r>
        <w:rPr>
          <w:b/>
          <w:color w:val="000000"/>
        </w:rPr>
        <w:t>Упис у Уписник</w:t>
      </w:r>
    </w:p>
    <w:p w14:paraId="6AD48E0A" w14:textId="77777777" w:rsidR="00B71A3A" w:rsidRDefault="00EA1D2F">
      <w:pPr>
        <w:spacing w:after="120"/>
        <w:jc w:val="center"/>
      </w:pPr>
      <w:r>
        <w:rPr>
          <w:color w:val="000000"/>
        </w:rPr>
        <w:t>Члан 6.</w:t>
      </w:r>
    </w:p>
    <w:p w14:paraId="775A0486" w14:textId="77777777" w:rsidR="00B71A3A" w:rsidRDefault="00EA1D2F">
      <w:pPr>
        <w:spacing w:after="150"/>
      </w:pPr>
      <w:r>
        <w:rPr>
          <w:color w:val="000000"/>
        </w:rPr>
        <w:t xml:space="preserve">Упис у уписник врши се на основу одобрењу за обављање луке делатности или на </w:t>
      </w:r>
      <w:r>
        <w:rPr>
          <w:color w:val="000000"/>
        </w:rPr>
        <w:t>основу поднетог захтева привредног друштва које може да обавља лучку делатност и без одобрења, коме је признато својство лучког оператера у складу са законом којим се уређују пловидба и луке на унутрашњим водама.</w:t>
      </w:r>
    </w:p>
    <w:p w14:paraId="536C824A" w14:textId="77777777" w:rsidR="00B71A3A" w:rsidRDefault="00EA1D2F">
      <w:pPr>
        <w:spacing w:after="120"/>
        <w:jc w:val="center"/>
      </w:pPr>
      <w:r>
        <w:rPr>
          <w:color w:val="000000"/>
        </w:rPr>
        <w:t>Члан 7.</w:t>
      </w:r>
    </w:p>
    <w:p w14:paraId="04CF233C" w14:textId="77777777" w:rsidR="00B71A3A" w:rsidRDefault="00EA1D2F">
      <w:pPr>
        <w:spacing w:after="150"/>
      </w:pPr>
      <w:r>
        <w:rPr>
          <w:color w:val="000000"/>
        </w:rPr>
        <w:t>Упис промене података у уписник врш</w:t>
      </w:r>
      <w:r>
        <w:rPr>
          <w:color w:val="000000"/>
        </w:rPr>
        <w:t>и се на начин што се у одговарајућу рубрику уписног листа уноси број и датум решења Агенције о промени података који се мењају.</w:t>
      </w:r>
    </w:p>
    <w:p w14:paraId="198759D0" w14:textId="77777777" w:rsidR="00B71A3A" w:rsidRDefault="00EA1D2F">
      <w:pPr>
        <w:spacing w:after="150"/>
      </w:pPr>
      <w:r>
        <w:rPr>
          <w:color w:val="000000"/>
        </w:rPr>
        <w:lastRenderedPageBreak/>
        <w:t xml:space="preserve">Истовремено, у одговарајућу рубрику уписног листа непосредно испод основног уписа податка који се мења, односно последњег уписа </w:t>
      </w:r>
      <w:r>
        <w:rPr>
          <w:color w:val="000000"/>
        </w:rPr>
        <w:t>промене тог податка, који се обележава црвеном линијом, уписује се нов податак.</w:t>
      </w:r>
    </w:p>
    <w:p w14:paraId="788D500F" w14:textId="77777777" w:rsidR="00B71A3A" w:rsidRDefault="00EA1D2F">
      <w:pPr>
        <w:spacing w:after="150"/>
      </w:pPr>
      <w:r>
        <w:rPr>
          <w:color w:val="000000"/>
        </w:rPr>
        <w:t xml:space="preserve">Након уписа промене податка у уписнику, уписни лист се штампа и улаже у књигу уписа, а претходни уписни лист под истим редним бројем уписа одлаже се у списе предмета на основу </w:t>
      </w:r>
      <w:r>
        <w:rPr>
          <w:color w:val="000000"/>
        </w:rPr>
        <w:t>којих је извршен основни упис у уписник.</w:t>
      </w:r>
    </w:p>
    <w:p w14:paraId="604544EF" w14:textId="77777777" w:rsidR="00B71A3A" w:rsidRDefault="00EA1D2F">
      <w:pPr>
        <w:spacing w:after="120"/>
        <w:jc w:val="center"/>
      </w:pPr>
      <w:r>
        <w:rPr>
          <w:color w:val="000000"/>
        </w:rPr>
        <w:t>Члан 8.</w:t>
      </w:r>
    </w:p>
    <w:p w14:paraId="5C727DD5" w14:textId="77777777" w:rsidR="00B71A3A" w:rsidRDefault="00EA1D2F">
      <w:pPr>
        <w:spacing w:after="150"/>
      </w:pPr>
      <w:r>
        <w:rPr>
          <w:color w:val="000000"/>
        </w:rPr>
        <w:t xml:space="preserve">Уношење исправки грешака у уписнику врши се на начин што се у одговарајући уписни лист у рубрику Напомена, уписује број и датум решења о исправци грешке и одговарајућа забелешка о исправци погрешно уписаних </w:t>
      </w:r>
      <w:r>
        <w:rPr>
          <w:color w:val="000000"/>
        </w:rPr>
        <w:t>података.</w:t>
      </w:r>
    </w:p>
    <w:p w14:paraId="2F523BA2" w14:textId="77777777" w:rsidR="00B71A3A" w:rsidRDefault="00EA1D2F">
      <w:pPr>
        <w:spacing w:after="150"/>
      </w:pPr>
      <w:r>
        <w:rPr>
          <w:color w:val="000000"/>
        </w:rPr>
        <w:t xml:space="preserve">Подаци уписани у уписник не могу се ни на који начин учинити нечитким нити се могу у њих накнадно уносити нове речи, реченице или бројеви, којима би се мењао садржај уписаних података. Погрешни уписи се прецртавају тако да остану читки. Странице </w:t>
      </w:r>
      <w:r>
        <w:rPr>
          <w:color w:val="000000"/>
        </w:rPr>
        <w:t>уписног листа не могу се цепати.</w:t>
      </w:r>
    </w:p>
    <w:p w14:paraId="00C674DF" w14:textId="77777777" w:rsidR="00B71A3A" w:rsidRDefault="00EA1D2F">
      <w:pPr>
        <w:spacing w:after="150"/>
      </w:pPr>
      <w:r>
        <w:rPr>
          <w:color w:val="000000"/>
        </w:rPr>
        <w:t>Након уписа исправке грешке у уписник, уписни лист се штампа и улаже у уписник, а претходни уписни лист под истим редним бројем уписа одлаже се у списе предмета на основу којих је извршен основни упис у Уписник.</w:t>
      </w:r>
    </w:p>
    <w:p w14:paraId="587E3945" w14:textId="77777777" w:rsidR="00B71A3A" w:rsidRDefault="00EA1D2F">
      <w:pPr>
        <w:spacing w:after="120"/>
        <w:jc w:val="center"/>
      </w:pPr>
      <w:r>
        <w:rPr>
          <w:b/>
          <w:color w:val="000000"/>
        </w:rPr>
        <w:t>Промена ста</w:t>
      </w:r>
      <w:r>
        <w:rPr>
          <w:b/>
          <w:color w:val="000000"/>
        </w:rPr>
        <w:t>туса</w:t>
      </w:r>
    </w:p>
    <w:p w14:paraId="7D67F6FD" w14:textId="77777777" w:rsidR="00B71A3A" w:rsidRDefault="00EA1D2F">
      <w:pPr>
        <w:spacing w:after="120"/>
        <w:jc w:val="center"/>
      </w:pPr>
      <w:r>
        <w:rPr>
          <w:color w:val="000000"/>
        </w:rPr>
        <w:t>Члан 9.</w:t>
      </w:r>
    </w:p>
    <w:p w14:paraId="187B34EF" w14:textId="77777777" w:rsidR="00B71A3A" w:rsidRDefault="00EA1D2F">
      <w:pPr>
        <w:spacing w:after="150"/>
      </w:pPr>
      <w:r>
        <w:rPr>
          <w:color w:val="000000"/>
        </w:rPr>
        <w:t>Упис промене статуса лучког оператера у уписник врши се на начин што се у одговарајућу рубрику уписног листа уноси број и датум решења Агенције о одузимању одобрења, тако што се статус активан замени са статусом пасиван.</w:t>
      </w:r>
    </w:p>
    <w:p w14:paraId="49AA7364" w14:textId="77777777" w:rsidR="00B71A3A" w:rsidRDefault="00EA1D2F">
      <w:pPr>
        <w:spacing w:after="150"/>
      </w:pPr>
      <w:r>
        <w:rPr>
          <w:color w:val="000000"/>
        </w:rPr>
        <w:t>Истовремено, у одговар</w:t>
      </w:r>
      <w:r>
        <w:rPr>
          <w:color w:val="000000"/>
        </w:rPr>
        <w:t>ајућу рубрику уписног листа уписује се број и датум доношења решења о одузимању одобрења.</w:t>
      </w:r>
    </w:p>
    <w:p w14:paraId="2B199082" w14:textId="77777777" w:rsidR="00B71A3A" w:rsidRDefault="00EA1D2F">
      <w:pPr>
        <w:spacing w:after="120"/>
        <w:jc w:val="center"/>
      </w:pPr>
      <w:r>
        <w:rPr>
          <w:b/>
          <w:color w:val="000000"/>
        </w:rPr>
        <w:t>Упис података о забрани рада лучког оператера</w:t>
      </w:r>
    </w:p>
    <w:p w14:paraId="0EC98227" w14:textId="77777777" w:rsidR="00B71A3A" w:rsidRDefault="00EA1D2F">
      <w:pPr>
        <w:spacing w:after="120"/>
        <w:jc w:val="center"/>
      </w:pPr>
      <w:r>
        <w:rPr>
          <w:color w:val="000000"/>
        </w:rPr>
        <w:t>Члан 10.</w:t>
      </w:r>
    </w:p>
    <w:p w14:paraId="6392CB1D" w14:textId="77777777" w:rsidR="00B71A3A" w:rsidRDefault="00EA1D2F">
      <w:pPr>
        <w:spacing w:after="150"/>
      </w:pPr>
      <w:r>
        <w:rPr>
          <w:color w:val="000000"/>
        </w:rPr>
        <w:t xml:space="preserve">Упис забране рада лучког оператера, уписује се у уписник, тако што се у одговарајућу рубрику уписног листа </w:t>
      </w:r>
      <w:r>
        <w:rPr>
          <w:color w:val="000000"/>
        </w:rPr>
        <w:t>уписује забелешка о забрани рада лучког оператера, датум забране рада и период на који се односи забрана.</w:t>
      </w:r>
    </w:p>
    <w:p w14:paraId="1186F32D" w14:textId="77777777" w:rsidR="00B71A3A" w:rsidRDefault="00EA1D2F">
      <w:pPr>
        <w:spacing w:after="150"/>
      </w:pPr>
      <w:r>
        <w:rPr>
          <w:color w:val="000000"/>
        </w:rPr>
        <w:t>Забелешка се уписује у року од 15 дана од дана добијања решења надлежног државног органа о забрани рада лучког оператера.</w:t>
      </w:r>
    </w:p>
    <w:p w14:paraId="012BBE72" w14:textId="77777777" w:rsidR="00B71A3A" w:rsidRDefault="00EA1D2F">
      <w:pPr>
        <w:spacing w:after="120"/>
        <w:jc w:val="center"/>
      </w:pPr>
      <w:r>
        <w:rPr>
          <w:b/>
          <w:color w:val="000000"/>
        </w:rPr>
        <w:t>Упис ликвидације у Уписник</w:t>
      </w:r>
    </w:p>
    <w:p w14:paraId="0635DEA1" w14:textId="77777777" w:rsidR="00B71A3A" w:rsidRDefault="00EA1D2F">
      <w:pPr>
        <w:spacing w:after="120"/>
        <w:jc w:val="center"/>
      </w:pPr>
      <w:r>
        <w:rPr>
          <w:color w:val="000000"/>
        </w:rPr>
        <w:t>Ч</w:t>
      </w:r>
      <w:r>
        <w:rPr>
          <w:color w:val="000000"/>
        </w:rPr>
        <w:t>лан 11.</w:t>
      </w:r>
    </w:p>
    <w:p w14:paraId="5BAA7757" w14:textId="77777777" w:rsidR="00B71A3A" w:rsidRDefault="00EA1D2F">
      <w:pPr>
        <w:spacing w:after="150"/>
      </w:pPr>
      <w:r>
        <w:rPr>
          <w:color w:val="000000"/>
        </w:rPr>
        <w:lastRenderedPageBreak/>
        <w:t>О спровођењу поступка ликвидације лучког оператера у одговарајућу рубрику уписног листа уписује се забелешка, у року од 15 дана од дана добијања решења надлежног државног органа о спровођењу поступка ликвидације.</w:t>
      </w:r>
    </w:p>
    <w:p w14:paraId="35B13A6D" w14:textId="77777777" w:rsidR="00B71A3A" w:rsidRDefault="00EA1D2F">
      <w:pPr>
        <w:spacing w:after="120"/>
        <w:jc w:val="center"/>
      </w:pPr>
      <w:r>
        <w:rPr>
          <w:b/>
          <w:color w:val="000000"/>
        </w:rPr>
        <w:t>Упис стечаја у Уписник</w:t>
      </w:r>
    </w:p>
    <w:p w14:paraId="6B1B3ED0" w14:textId="77777777" w:rsidR="00B71A3A" w:rsidRDefault="00EA1D2F">
      <w:pPr>
        <w:spacing w:after="120"/>
        <w:jc w:val="center"/>
      </w:pPr>
      <w:r>
        <w:rPr>
          <w:color w:val="000000"/>
        </w:rPr>
        <w:t>Члан 12.</w:t>
      </w:r>
    </w:p>
    <w:p w14:paraId="0F459BE4" w14:textId="77777777" w:rsidR="00B71A3A" w:rsidRDefault="00EA1D2F">
      <w:pPr>
        <w:spacing w:after="150"/>
      </w:pPr>
      <w:r>
        <w:rPr>
          <w:color w:val="000000"/>
        </w:rPr>
        <w:t>О п</w:t>
      </w:r>
      <w:r>
        <w:rPr>
          <w:color w:val="000000"/>
        </w:rPr>
        <w:t>окретању стечаја лучког оператера у одговарајућу рубрику уписног листа уписује се забелешка, у року од 15 дана од дана добијања решења надлежног државног органа о покретању поступка стечаја.</w:t>
      </w:r>
    </w:p>
    <w:p w14:paraId="7C7A23B6" w14:textId="77777777" w:rsidR="00B71A3A" w:rsidRDefault="00EA1D2F">
      <w:pPr>
        <w:spacing w:after="120"/>
        <w:jc w:val="center"/>
      </w:pPr>
      <w:r>
        <w:rPr>
          <w:color w:val="000000"/>
        </w:rPr>
        <w:t>Члан 14.</w:t>
      </w:r>
    </w:p>
    <w:p w14:paraId="74B8EB8F" w14:textId="77777777" w:rsidR="00B71A3A" w:rsidRDefault="00EA1D2F">
      <w:pPr>
        <w:spacing w:after="150"/>
      </w:pPr>
      <w:r>
        <w:rPr>
          <w:color w:val="000000"/>
        </w:rPr>
        <w:t>Овај правилник ступа на снагу осмог дана од дана објављи</w:t>
      </w:r>
      <w:r>
        <w:rPr>
          <w:color w:val="000000"/>
        </w:rPr>
        <w:t>вања у „Службеном гласнику Републике Србије”.</w:t>
      </w:r>
    </w:p>
    <w:p w14:paraId="7531C342" w14:textId="77777777" w:rsidR="00B71A3A" w:rsidRDefault="00EA1D2F">
      <w:pPr>
        <w:spacing w:after="150"/>
        <w:jc w:val="right"/>
      </w:pPr>
      <w:r>
        <w:rPr>
          <w:color w:val="000000"/>
        </w:rPr>
        <w:t>Број 342-166/2019-2</w:t>
      </w:r>
    </w:p>
    <w:p w14:paraId="111CB3FD" w14:textId="77777777" w:rsidR="00B71A3A" w:rsidRDefault="00EA1D2F">
      <w:pPr>
        <w:spacing w:after="150"/>
        <w:jc w:val="right"/>
      </w:pPr>
      <w:r>
        <w:rPr>
          <w:color w:val="000000"/>
        </w:rPr>
        <w:t>У Београду, 11. септембра 2019. године</w:t>
      </w:r>
    </w:p>
    <w:sectPr w:rsidR="00B71A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A3A"/>
    <w:rsid w:val="00B71A3A"/>
    <w:rsid w:val="00EA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A45C"/>
  <w15:docId w15:val="{F56E2550-A709-470E-87C9-75E6A374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styleId="BalloonText">
    <w:name w:val="Balloon Text"/>
    <w:basedOn w:val="Normal"/>
    <w:link w:val="BalloonTextChar"/>
    <w:uiPriority w:val="99"/>
    <w:semiHidden/>
    <w:unhideWhenUsed/>
    <w:rsid w:val="00EA1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Ninoslav  Drakulić</cp:lastModifiedBy>
  <cp:revision>3</cp:revision>
  <cp:lastPrinted>2020-03-10T13:16:00Z</cp:lastPrinted>
  <dcterms:created xsi:type="dcterms:W3CDTF">2020-03-10T13:15:00Z</dcterms:created>
  <dcterms:modified xsi:type="dcterms:W3CDTF">2020-03-10T13:17:00Z</dcterms:modified>
</cp:coreProperties>
</file>